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05B2D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705B2D">
        <w:rPr>
          <w:rFonts w:ascii="Times New Roman" w:eastAsia="Calibri" w:hAnsi="Times New Roman" w:cs="Times New Roman"/>
          <w:b/>
          <w:sz w:val="26"/>
          <w:szCs w:val="26"/>
        </w:rPr>
        <w:t>ОУД.03 «Иностранный язык».</w:t>
      </w:r>
      <w:bookmarkEnd w:id="0"/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B2D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B2D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«Иностранный язык» предназначена для изучения при реализации ОПОП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B2D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B2D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«Иностранный язык» является составной частью общеобразовательного цикла из числа общих учебных дисциплин обязательной предметной области «Иностранный язык» ФГОС среднего общего образования при реализации ООП СПО: ППКРС и изучается как базовая общеобразовательная дисциплина технического профиля.</w:t>
      </w:r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B2D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705B2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5B2D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«Иностранный язык»:</w:t>
      </w:r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B2D">
        <w:rPr>
          <w:rFonts w:ascii="Times New Roman" w:eastAsia="Calibri" w:hAnsi="Times New Roman" w:cs="Times New Roman"/>
          <w:b/>
          <w:sz w:val="26"/>
          <w:szCs w:val="26"/>
        </w:rPr>
        <w:t xml:space="preserve">формирование </w:t>
      </w:r>
      <w:r w:rsidRPr="00705B2D">
        <w:rPr>
          <w:rFonts w:ascii="Times New Roman" w:eastAsia="Calibri" w:hAnsi="Times New Roman" w:cs="Times New Roman"/>
          <w:sz w:val="26"/>
          <w:szCs w:val="26"/>
        </w:rPr>
        <w:t>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B2D">
        <w:rPr>
          <w:rFonts w:ascii="Times New Roman" w:eastAsia="Calibri" w:hAnsi="Times New Roman" w:cs="Times New Roman"/>
          <w:b/>
          <w:sz w:val="26"/>
          <w:szCs w:val="26"/>
        </w:rPr>
        <w:t xml:space="preserve">формирование </w:t>
      </w:r>
      <w:r w:rsidRPr="00705B2D">
        <w:rPr>
          <w:rFonts w:ascii="Times New Roman" w:eastAsia="Calibri" w:hAnsi="Times New Roman" w:cs="Times New Roman"/>
          <w:sz w:val="26"/>
          <w:szCs w:val="26"/>
        </w:rPr>
        <w:t>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B2D">
        <w:rPr>
          <w:rFonts w:ascii="Times New Roman" w:eastAsia="Calibri" w:hAnsi="Times New Roman" w:cs="Times New Roman"/>
          <w:b/>
          <w:sz w:val="26"/>
          <w:szCs w:val="26"/>
        </w:rPr>
        <w:t xml:space="preserve">формирование и развитие </w:t>
      </w:r>
      <w:r w:rsidRPr="00705B2D">
        <w:rPr>
          <w:rFonts w:ascii="Times New Roman" w:eastAsia="Calibri" w:hAnsi="Times New Roman" w:cs="Times New Roman"/>
          <w:sz w:val="26"/>
          <w:szCs w:val="26"/>
        </w:rPr>
        <w:t>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B2D">
        <w:rPr>
          <w:rFonts w:ascii="Times New Roman" w:eastAsia="Calibri" w:hAnsi="Times New Roman" w:cs="Times New Roman"/>
          <w:b/>
          <w:sz w:val="26"/>
          <w:szCs w:val="26"/>
        </w:rPr>
        <w:t xml:space="preserve">воспитание </w:t>
      </w:r>
      <w:r w:rsidRPr="00705B2D">
        <w:rPr>
          <w:rFonts w:ascii="Times New Roman" w:eastAsia="Calibri" w:hAnsi="Times New Roman" w:cs="Times New Roman"/>
          <w:sz w:val="26"/>
          <w:szCs w:val="26"/>
        </w:rPr>
        <w:t>личности, способной и желающей участвовать в общении на межкультурном уровне;</w:t>
      </w:r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B2D">
        <w:rPr>
          <w:rFonts w:ascii="Times New Roman" w:eastAsia="Calibri" w:hAnsi="Times New Roman" w:cs="Times New Roman"/>
          <w:b/>
          <w:sz w:val="26"/>
          <w:szCs w:val="26"/>
        </w:rPr>
        <w:t xml:space="preserve">воспитание </w:t>
      </w:r>
      <w:r w:rsidRPr="00705B2D">
        <w:rPr>
          <w:rFonts w:ascii="Times New Roman" w:eastAsia="Calibri" w:hAnsi="Times New Roman" w:cs="Times New Roman"/>
          <w:sz w:val="26"/>
          <w:szCs w:val="26"/>
        </w:rPr>
        <w:t>уважительного отношения к другим культурам и социальным субкультурам.</w:t>
      </w:r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B2D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«Иностранный язык»</w:t>
      </w:r>
    </w:p>
    <w:p w:rsidR="00705B2D" w:rsidRPr="00705B2D" w:rsidRDefault="00705B2D" w:rsidP="00705B2D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705B2D">
        <w:rPr>
          <w:rFonts w:ascii="Times New Roman" w:eastAsia="Calibri" w:hAnsi="Times New Roman" w:cs="Times New Roman"/>
          <w:sz w:val="26"/>
          <w:szCs w:val="26"/>
        </w:rPr>
        <w:t>Максимальная учебная нагрузка обучающегося – 192 часов, в том числе: обязательной аудиторной учебой нагрузки обучающегося – 84 часов, занятия в подгруппах -108 часов.</w:t>
      </w:r>
    </w:p>
    <w:p w:rsidR="008B27B4" w:rsidRDefault="00705B2D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2D"/>
    <w:rsid w:val="00705B2D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2022-12-09T03:30:00Z</dcterms:created>
  <dcterms:modified xsi:type="dcterms:W3CDTF">2022-12-09T03:30:00Z</dcterms:modified>
</cp:coreProperties>
</file>