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E16A6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>Д.0</w:t>
      </w: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 «Физическая культура»</w:t>
      </w:r>
      <w:bookmarkEnd w:id="0"/>
    </w:p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Программа общеобразовательной учебной дисциплины «Физическая культура» предназначена для изучения при реализации ООП СПО: ППКРС по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08.01.10.Мастер </w:t>
      </w:r>
      <w:r w:rsidRPr="00B41D4C">
        <w:rPr>
          <w:rFonts w:ascii="Times New Roman" w:eastAsia="Calibri" w:hAnsi="Times New Roman" w:cs="Times New Roman"/>
          <w:sz w:val="26"/>
          <w:szCs w:val="26"/>
        </w:rPr>
        <w:t>жилищно-коммунального хозяйства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базовой подготовки технического профиля с получением среднего общего образования при очной форме получения образования.</w:t>
      </w:r>
    </w:p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«Физическая культура» является составной частью общеобразовательного цикла из числа общих учебных дисциплин обязательной предметной области «Физическая культура, экология</w:t>
      </w:r>
      <w:r w:rsidRPr="007E16A6">
        <w:rPr>
          <w:rFonts w:ascii="Times New Roman" w:hAnsi="Times New Roman" w:cs="Times New Roman"/>
          <w:sz w:val="26"/>
          <w:szCs w:val="26"/>
        </w:rPr>
        <w:t xml:space="preserve"> </w:t>
      </w:r>
      <w:r w:rsidRPr="007E16A6">
        <w:rPr>
          <w:rFonts w:ascii="Times New Roman" w:eastAsia="Calibri" w:hAnsi="Times New Roman" w:cs="Times New Roman"/>
          <w:sz w:val="26"/>
          <w:szCs w:val="26"/>
        </w:rPr>
        <w:t>и основы безопасности жизнедеятельности» ФГОС среднего общего образования при реализации ОПОП СПО: ППКРС и изучается как базовая общеобразовательная дисциплина технического профиля.</w:t>
      </w:r>
    </w:p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«Физическая культура»: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физической культуры личности будущего профессионала, востребованного на современном рынке труда;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развитие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овладение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овладение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освоение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354B76" w:rsidRPr="007E16A6" w:rsidRDefault="00354B76" w:rsidP="00354B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приобретение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354B76" w:rsidRPr="007E16A6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«Физическая культура»</w:t>
      </w:r>
    </w:p>
    <w:p w:rsidR="00354B76" w:rsidRPr="000D376C" w:rsidRDefault="00354B76" w:rsidP="00354B7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Максимальная учебная нагрузка обучающегося – </w:t>
      </w:r>
      <w:r>
        <w:rPr>
          <w:rFonts w:ascii="Times New Roman" w:eastAsia="Calibri" w:hAnsi="Times New Roman" w:cs="Times New Roman"/>
          <w:sz w:val="26"/>
          <w:szCs w:val="26"/>
        </w:rPr>
        <w:t>171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часов, в том числе: обязательной аудиторной учебой нагрузки обучающегося – </w:t>
      </w:r>
      <w:r>
        <w:rPr>
          <w:rFonts w:ascii="Times New Roman" w:eastAsia="Calibri" w:hAnsi="Times New Roman" w:cs="Times New Roman"/>
          <w:sz w:val="26"/>
          <w:szCs w:val="26"/>
        </w:rPr>
        <w:t>4 часов,</w:t>
      </w:r>
      <w:r w:rsidRPr="000D37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занятия в подгруппах -167 часов.</w:t>
      </w:r>
    </w:p>
    <w:p w:rsidR="008B27B4" w:rsidRDefault="00354B76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3983"/>
    <w:multiLevelType w:val="hybridMultilevel"/>
    <w:tmpl w:val="463E1E9C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76"/>
    <w:rsid w:val="00354B76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2022-12-09T03:32:00Z</dcterms:created>
  <dcterms:modified xsi:type="dcterms:W3CDTF">2022-12-09T03:32:00Z</dcterms:modified>
</cp:coreProperties>
</file>