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2A8" w:rsidRDefault="00FA62A8" w:rsidP="00E7223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FA62A8" w:rsidRPr="002967FC" w:rsidRDefault="00FA62A8" w:rsidP="00144344">
      <w:pPr>
        <w:jc w:val="both"/>
        <w:rPr>
          <w:rFonts w:ascii="Times New Roman" w:hAnsi="Times New Roman" w:cs="Times New Roman"/>
          <w:sz w:val="24"/>
          <w:szCs w:val="24"/>
        </w:rPr>
      </w:pPr>
      <w:r w:rsidRPr="002967FC">
        <w:rPr>
          <w:rFonts w:ascii="Times New Roman" w:hAnsi="Times New Roman" w:cs="Times New Roman"/>
          <w:sz w:val="24"/>
          <w:szCs w:val="24"/>
        </w:rPr>
        <w:t xml:space="preserve">          В 2022/2023 учебном году в рамках внутренней системы оценки качества образования было проведено анкетирование работодателей об удовлетворенности условиями и организацией образовательной деятельности.</w:t>
      </w:r>
    </w:p>
    <w:p w:rsidR="00FA62A8" w:rsidRPr="002967FC" w:rsidRDefault="00FA62A8" w:rsidP="00167C8E">
      <w:pPr>
        <w:jc w:val="both"/>
        <w:rPr>
          <w:rFonts w:ascii="Times New Roman" w:hAnsi="Times New Roman" w:cs="Times New Roman"/>
          <w:sz w:val="24"/>
          <w:szCs w:val="24"/>
        </w:rPr>
      </w:pPr>
      <w:r w:rsidRPr="002967FC">
        <w:rPr>
          <w:rFonts w:ascii="Times New Roman" w:hAnsi="Times New Roman" w:cs="Times New Roman"/>
          <w:sz w:val="24"/>
          <w:szCs w:val="24"/>
        </w:rPr>
        <w:t xml:space="preserve">         В опросе, проведенном в июне 2023 года, приняли участие </w:t>
      </w:r>
      <w:r w:rsidR="002E603A">
        <w:rPr>
          <w:rFonts w:ascii="Times New Roman" w:hAnsi="Times New Roman" w:cs="Times New Roman"/>
          <w:sz w:val="24"/>
          <w:szCs w:val="24"/>
        </w:rPr>
        <w:t>23</w:t>
      </w:r>
      <w:r w:rsidRPr="002967FC">
        <w:rPr>
          <w:rFonts w:ascii="Times New Roman" w:hAnsi="Times New Roman" w:cs="Times New Roman"/>
          <w:sz w:val="24"/>
          <w:szCs w:val="24"/>
        </w:rPr>
        <w:t xml:space="preserve"> ведущих предприяти</w:t>
      </w:r>
      <w:r w:rsidR="002E603A">
        <w:rPr>
          <w:rFonts w:ascii="Times New Roman" w:hAnsi="Times New Roman" w:cs="Times New Roman"/>
          <w:sz w:val="24"/>
          <w:szCs w:val="24"/>
        </w:rPr>
        <w:t>я</w:t>
      </w:r>
      <w:r w:rsidRPr="002967FC">
        <w:rPr>
          <w:rFonts w:ascii="Times New Roman" w:hAnsi="Times New Roman" w:cs="Times New Roman"/>
          <w:sz w:val="24"/>
          <w:szCs w:val="24"/>
        </w:rPr>
        <w:t xml:space="preserve">, с которыми ГБПОУ «Закаменский агропромышленный техникум»  заключил договоры о социальном партнерстве: </w:t>
      </w:r>
      <w:proofErr w:type="gramStart"/>
      <w:r w:rsidRPr="002967FC">
        <w:rPr>
          <w:rFonts w:ascii="Times New Roman" w:hAnsi="Times New Roman" w:cs="Times New Roman"/>
          <w:sz w:val="24"/>
          <w:szCs w:val="24"/>
        </w:rPr>
        <w:t>СПК «Хуртага», СПК «Улекчин», СППОК «Закамна-Агропродукт», ООО «Горный воздух», ООО «</w:t>
      </w:r>
      <w:proofErr w:type="spellStart"/>
      <w:r w:rsidRPr="002967FC">
        <w:rPr>
          <w:rFonts w:ascii="Times New Roman" w:hAnsi="Times New Roman" w:cs="Times New Roman"/>
          <w:sz w:val="24"/>
          <w:szCs w:val="24"/>
        </w:rPr>
        <w:t>Твердосплав</w:t>
      </w:r>
      <w:proofErr w:type="spellEnd"/>
      <w:r w:rsidRPr="002967FC">
        <w:rPr>
          <w:rFonts w:ascii="Times New Roman" w:hAnsi="Times New Roman" w:cs="Times New Roman"/>
          <w:sz w:val="24"/>
          <w:szCs w:val="24"/>
        </w:rPr>
        <w:t>», ООО «Литейщик», ООО «Закаменск ЖКХ», ООО «Восток», ООО «Восход», АО «Закаменск», ООО «Закаменский ДРСУч», ООО «Закамдор»,  ИП «Сергеев КС», ООО «</w:t>
      </w:r>
      <w:proofErr w:type="spellStart"/>
      <w:r w:rsidRPr="002967FC">
        <w:rPr>
          <w:rFonts w:ascii="Times New Roman" w:hAnsi="Times New Roman" w:cs="Times New Roman"/>
          <w:sz w:val="24"/>
          <w:szCs w:val="24"/>
        </w:rPr>
        <w:t>Сагаан</w:t>
      </w:r>
      <w:proofErr w:type="spellEnd"/>
      <w:r w:rsidRPr="002967FC">
        <w:rPr>
          <w:rFonts w:ascii="Times New Roman" w:hAnsi="Times New Roman" w:cs="Times New Roman"/>
          <w:sz w:val="24"/>
          <w:szCs w:val="24"/>
        </w:rPr>
        <w:t xml:space="preserve"> Дали», ИП Цыренов Б.Ю., КФХ «Дабата», КФХ Цыбиков Б.П., КФХ Замбалаев З.Ц., ИП Агекян В.А., Столовая №1, </w:t>
      </w:r>
      <w:r w:rsidR="00167C8E">
        <w:rPr>
          <w:rFonts w:ascii="Times New Roman" w:hAnsi="Times New Roman" w:cs="Times New Roman"/>
          <w:sz w:val="24"/>
          <w:szCs w:val="24"/>
        </w:rPr>
        <w:t xml:space="preserve"> ООО «Закаменск </w:t>
      </w:r>
      <w:proofErr w:type="spellStart"/>
      <w:r w:rsidR="00167C8E">
        <w:rPr>
          <w:rFonts w:ascii="Times New Roman" w:hAnsi="Times New Roman" w:cs="Times New Roman"/>
          <w:sz w:val="24"/>
          <w:szCs w:val="24"/>
        </w:rPr>
        <w:t>Автотранс</w:t>
      </w:r>
      <w:proofErr w:type="spellEnd"/>
      <w:r w:rsidR="00167C8E">
        <w:rPr>
          <w:rFonts w:ascii="Times New Roman" w:hAnsi="Times New Roman" w:cs="Times New Roman"/>
          <w:sz w:val="24"/>
          <w:szCs w:val="24"/>
        </w:rPr>
        <w:t xml:space="preserve">», </w:t>
      </w:r>
      <w:r w:rsidR="002E603A">
        <w:rPr>
          <w:rFonts w:ascii="Times New Roman" w:hAnsi="Times New Roman" w:cs="Times New Roman"/>
          <w:sz w:val="24"/>
          <w:szCs w:val="24"/>
        </w:rPr>
        <w:t>Кафе «</w:t>
      </w:r>
      <w:proofErr w:type="spellStart"/>
      <w:r w:rsidR="002E603A">
        <w:rPr>
          <w:rFonts w:ascii="Times New Roman" w:hAnsi="Times New Roman" w:cs="Times New Roman"/>
          <w:sz w:val="24"/>
          <w:szCs w:val="24"/>
        </w:rPr>
        <w:t>Тадаши</w:t>
      </w:r>
      <w:proofErr w:type="spellEnd"/>
      <w:r w:rsidR="002E603A">
        <w:rPr>
          <w:rFonts w:ascii="Times New Roman" w:hAnsi="Times New Roman" w:cs="Times New Roman"/>
          <w:sz w:val="24"/>
          <w:szCs w:val="24"/>
        </w:rPr>
        <w:t>», СПК «Михайловка».</w:t>
      </w:r>
      <w:proofErr w:type="gramEnd"/>
    </w:p>
    <w:p w:rsidR="00FA62A8" w:rsidRPr="002967FC" w:rsidRDefault="00FA62A8" w:rsidP="00FA62A8">
      <w:pPr>
        <w:rPr>
          <w:rFonts w:ascii="Times New Roman" w:hAnsi="Times New Roman" w:cs="Times New Roman"/>
          <w:sz w:val="24"/>
          <w:szCs w:val="24"/>
        </w:rPr>
      </w:pPr>
    </w:p>
    <w:p w:rsidR="00E72232" w:rsidRDefault="00E72232" w:rsidP="00E7223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72232">
        <w:rPr>
          <w:rFonts w:ascii="Times New Roman" w:hAnsi="Times New Roman" w:cs="Times New Roman"/>
          <w:b/>
        </w:rPr>
        <w:t xml:space="preserve">Насколько Вы удовлетворены уровнем практической подготовки выпускников </w:t>
      </w:r>
    </w:p>
    <w:p w:rsidR="007718E5" w:rsidRDefault="00E72232" w:rsidP="00E7223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72232">
        <w:rPr>
          <w:rFonts w:ascii="Times New Roman" w:hAnsi="Times New Roman" w:cs="Times New Roman"/>
          <w:b/>
        </w:rPr>
        <w:t>ГБПОУ «ЗАПТ»</w:t>
      </w:r>
    </w:p>
    <w:p w:rsidR="004154E1" w:rsidRDefault="004154E1" w:rsidP="00E7223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E72232" w:rsidRPr="00E72232" w:rsidRDefault="00E72232" w:rsidP="00E7223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E72232" w:rsidRDefault="00E831CF">
      <w:bookmarkStart w:id="0" w:name="_GoBack"/>
      <w:r>
        <w:rPr>
          <w:noProof/>
          <w:lang w:eastAsia="ru-RU"/>
        </w:rPr>
        <w:drawing>
          <wp:inline distT="0" distB="0" distL="0" distR="0">
            <wp:extent cx="5486400" cy="3200400"/>
            <wp:effectExtent l="38100" t="0" r="19050" b="1905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bookmarkEnd w:id="0"/>
    </w:p>
    <w:p w:rsidR="004154E1" w:rsidRDefault="004154E1" w:rsidP="006A0765">
      <w:pPr>
        <w:spacing w:after="0"/>
        <w:jc w:val="center"/>
        <w:rPr>
          <w:rFonts w:ascii="Times New Roman" w:hAnsi="Times New Roman" w:cs="Times New Roman"/>
          <w:b/>
        </w:rPr>
      </w:pPr>
    </w:p>
    <w:p w:rsidR="004154E1" w:rsidRDefault="004154E1" w:rsidP="006A0765">
      <w:pPr>
        <w:spacing w:after="0"/>
        <w:jc w:val="center"/>
        <w:rPr>
          <w:rFonts w:ascii="Times New Roman" w:hAnsi="Times New Roman" w:cs="Times New Roman"/>
          <w:b/>
        </w:rPr>
      </w:pPr>
    </w:p>
    <w:p w:rsidR="004154E1" w:rsidRDefault="004154E1" w:rsidP="006A0765">
      <w:pPr>
        <w:spacing w:after="0"/>
        <w:jc w:val="center"/>
        <w:rPr>
          <w:rFonts w:ascii="Times New Roman" w:hAnsi="Times New Roman" w:cs="Times New Roman"/>
          <w:b/>
        </w:rPr>
      </w:pPr>
    </w:p>
    <w:p w:rsidR="00FA62A8" w:rsidRDefault="00FA62A8" w:rsidP="006A0765">
      <w:pPr>
        <w:spacing w:after="0"/>
        <w:jc w:val="center"/>
        <w:rPr>
          <w:rFonts w:ascii="Times New Roman" w:hAnsi="Times New Roman" w:cs="Times New Roman"/>
          <w:b/>
        </w:rPr>
      </w:pPr>
    </w:p>
    <w:p w:rsidR="00FA62A8" w:rsidRDefault="00FA62A8" w:rsidP="006A0765">
      <w:pPr>
        <w:spacing w:after="0"/>
        <w:jc w:val="center"/>
        <w:rPr>
          <w:rFonts w:ascii="Times New Roman" w:hAnsi="Times New Roman" w:cs="Times New Roman"/>
          <w:b/>
        </w:rPr>
      </w:pPr>
    </w:p>
    <w:p w:rsidR="00FA62A8" w:rsidRDefault="00FA62A8" w:rsidP="006A0765">
      <w:pPr>
        <w:spacing w:after="0"/>
        <w:jc w:val="center"/>
        <w:rPr>
          <w:rFonts w:ascii="Times New Roman" w:hAnsi="Times New Roman" w:cs="Times New Roman"/>
          <w:b/>
        </w:rPr>
      </w:pPr>
    </w:p>
    <w:p w:rsidR="00FA62A8" w:rsidRDefault="00FA62A8" w:rsidP="006A0765">
      <w:pPr>
        <w:spacing w:after="0"/>
        <w:jc w:val="center"/>
        <w:rPr>
          <w:rFonts w:ascii="Times New Roman" w:hAnsi="Times New Roman" w:cs="Times New Roman"/>
          <w:b/>
        </w:rPr>
      </w:pPr>
    </w:p>
    <w:p w:rsidR="00FA62A8" w:rsidRDefault="00FA62A8" w:rsidP="006A0765">
      <w:pPr>
        <w:spacing w:after="0"/>
        <w:jc w:val="center"/>
        <w:rPr>
          <w:rFonts w:ascii="Times New Roman" w:hAnsi="Times New Roman" w:cs="Times New Roman"/>
          <w:b/>
        </w:rPr>
      </w:pPr>
    </w:p>
    <w:p w:rsidR="00FA62A8" w:rsidRDefault="00FA62A8" w:rsidP="006A0765">
      <w:pPr>
        <w:spacing w:after="0"/>
        <w:jc w:val="center"/>
        <w:rPr>
          <w:rFonts w:ascii="Times New Roman" w:hAnsi="Times New Roman" w:cs="Times New Roman"/>
          <w:b/>
        </w:rPr>
      </w:pPr>
    </w:p>
    <w:p w:rsidR="00FA62A8" w:rsidRDefault="00FA62A8" w:rsidP="006A0765">
      <w:pPr>
        <w:spacing w:after="0"/>
        <w:jc w:val="center"/>
        <w:rPr>
          <w:rFonts w:ascii="Times New Roman" w:hAnsi="Times New Roman" w:cs="Times New Roman"/>
          <w:b/>
        </w:rPr>
      </w:pPr>
    </w:p>
    <w:p w:rsidR="004154E1" w:rsidRDefault="004154E1" w:rsidP="006A0765">
      <w:pPr>
        <w:spacing w:after="0"/>
        <w:jc w:val="center"/>
        <w:rPr>
          <w:rFonts w:ascii="Times New Roman" w:hAnsi="Times New Roman" w:cs="Times New Roman"/>
          <w:b/>
        </w:rPr>
      </w:pPr>
    </w:p>
    <w:p w:rsidR="004154E1" w:rsidRDefault="004154E1" w:rsidP="006A0765">
      <w:pPr>
        <w:spacing w:after="0"/>
        <w:jc w:val="center"/>
        <w:rPr>
          <w:rFonts w:ascii="Times New Roman" w:hAnsi="Times New Roman" w:cs="Times New Roman"/>
          <w:b/>
        </w:rPr>
      </w:pPr>
    </w:p>
    <w:p w:rsidR="00E72232" w:rsidRDefault="00E72232" w:rsidP="006A0765">
      <w:pPr>
        <w:spacing w:after="0"/>
        <w:jc w:val="center"/>
        <w:rPr>
          <w:rFonts w:ascii="Times New Roman" w:hAnsi="Times New Roman" w:cs="Times New Roman"/>
          <w:b/>
        </w:rPr>
      </w:pPr>
      <w:r w:rsidRPr="006A0765">
        <w:rPr>
          <w:rFonts w:ascii="Times New Roman" w:hAnsi="Times New Roman" w:cs="Times New Roman"/>
          <w:b/>
        </w:rPr>
        <w:lastRenderedPageBreak/>
        <w:t>Какие изменения в процессе обучения Вы бы порекомендовали провести с целью повышения качества подготовки</w:t>
      </w:r>
      <w:r w:rsidR="006A0765" w:rsidRPr="006A0765">
        <w:rPr>
          <w:rFonts w:ascii="Times New Roman" w:hAnsi="Times New Roman" w:cs="Times New Roman"/>
          <w:b/>
        </w:rPr>
        <w:t xml:space="preserve"> выпускников?</w:t>
      </w:r>
    </w:p>
    <w:p w:rsidR="004154E1" w:rsidRDefault="004154E1" w:rsidP="006A0765">
      <w:pPr>
        <w:spacing w:after="0"/>
        <w:jc w:val="center"/>
        <w:rPr>
          <w:rFonts w:ascii="Times New Roman" w:hAnsi="Times New Roman" w:cs="Times New Roman"/>
          <w:b/>
        </w:rPr>
      </w:pPr>
    </w:p>
    <w:p w:rsidR="004154E1" w:rsidRDefault="004154E1" w:rsidP="006A0765">
      <w:pPr>
        <w:spacing w:after="0"/>
        <w:jc w:val="center"/>
        <w:rPr>
          <w:rFonts w:ascii="Times New Roman" w:hAnsi="Times New Roman" w:cs="Times New Roman"/>
          <w:b/>
        </w:rPr>
      </w:pPr>
    </w:p>
    <w:p w:rsidR="006A0765" w:rsidRDefault="006A0765" w:rsidP="006A0765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>
            <wp:extent cx="5819775" cy="3333750"/>
            <wp:effectExtent l="38100" t="0" r="9525" b="1905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A46279" w:rsidRDefault="00A46279" w:rsidP="006A0765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</w:t>
      </w:r>
    </w:p>
    <w:p w:rsidR="004154E1" w:rsidRDefault="004154E1" w:rsidP="006A0765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Насколько Вы удовлетворены уровнем практической подготовки выпускников </w:t>
      </w:r>
    </w:p>
    <w:p w:rsidR="004154E1" w:rsidRDefault="004154E1" w:rsidP="006A0765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ГБПОУ «ЗАПТ»</w:t>
      </w:r>
    </w:p>
    <w:p w:rsidR="00BC49E0" w:rsidRDefault="00BC49E0" w:rsidP="006A0765">
      <w:pPr>
        <w:spacing w:after="0"/>
        <w:jc w:val="center"/>
        <w:rPr>
          <w:rFonts w:ascii="Times New Roman" w:hAnsi="Times New Roman" w:cs="Times New Roman"/>
          <w:b/>
        </w:rPr>
      </w:pPr>
    </w:p>
    <w:p w:rsidR="004154E1" w:rsidRDefault="004154E1" w:rsidP="006A0765">
      <w:pPr>
        <w:spacing w:after="0"/>
        <w:jc w:val="center"/>
        <w:rPr>
          <w:rFonts w:ascii="Times New Roman" w:hAnsi="Times New Roman" w:cs="Times New Roman"/>
          <w:b/>
        </w:rPr>
      </w:pPr>
    </w:p>
    <w:p w:rsidR="004154E1" w:rsidRDefault="004154E1" w:rsidP="006A0765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>
            <wp:extent cx="5781675" cy="3200400"/>
            <wp:effectExtent l="38100" t="0" r="9525" b="1905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BC49E0" w:rsidRDefault="00BC49E0" w:rsidP="006A0765">
      <w:pPr>
        <w:spacing w:after="0"/>
        <w:jc w:val="center"/>
        <w:rPr>
          <w:rFonts w:ascii="Times New Roman" w:hAnsi="Times New Roman" w:cs="Times New Roman"/>
          <w:b/>
        </w:rPr>
      </w:pPr>
    </w:p>
    <w:p w:rsidR="00BC49E0" w:rsidRDefault="00BC49E0" w:rsidP="006A0765">
      <w:pPr>
        <w:spacing w:after="0"/>
        <w:jc w:val="center"/>
        <w:rPr>
          <w:rFonts w:ascii="Times New Roman" w:hAnsi="Times New Roman" w:cs="Times New Roman"/>
          <w:b/>
        </w:rPr>
      </w:pPr>
    </w:p>
    <w:p w:rsidR="00BC49E0" w:rsidRDefault="00BC49E0" w:rsidP="006A0765">
      <w:pPr>
        <w:spacing w:after="0"/>
        <w:jc w:val="center"/>
        <w:rPr>
          <w:rFonts w:ascii="Times New Roman" w:hAnsi="Times New Roman" w:cs="Times New Roman"/>
          <w:b/>
        </w:rPr>
      </w:pPr>
    </w:p>
    <w:p w:rsidR="00BC49E0" w:rsidRDefault="00BC49E0" w:rsidP="006A0765">
      <w:pPr>
        <w:spacing w:after="0"/>
        <w:jc w:val="center"/>
        <w:rPr>
          <w:rFonts w:ascii="Times New Roman" w:hAnsi="Times New Roman" w:cs="Times New Roman"/>
          <w:b/>
        </w:rPr>
      </w:pPr>
    </w:p>
    <w:p w:rsidR="00BC49E0" w:rsidRDefault="00BC49E0" w:rsidP="006A0765">
      <w:pPr>
        <w:spacing w:after="0"/>
        <w:jc w:val="center"/>
        <w:rPr>
          <w:rFonts w:ascii="Times New Roman" w:hAnsi="Times New Roman" w:cs="Times New Roman"/>
          <w:b/>
        </w:rPr>
      </w:pPr>
    </w:p>
    <w:p w:rsidR="00BC49E0" w:rsidRDefault="00BC49E0" w:rsidP="006A0765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Сколько времени</w:t>
      </w:r>
      <w:proofErr w:type="gramStart"/>
      <w:r>
        <w:rPr>
          <w:rFonts w:ascii="Times New Roman" w:hAnsi="Times New Roman" w:cs="Times New Roman"/>
          <w:b/>
        </w:rPr>
        <w:t>.к</w:t>
      </w:r>
      <w:proofErr w:type="gramEnd"/>
      <w:r>
        <w:rPr>
          <w:rFonts w:ascii="Times New Roman" w:hAnsi="Times New Roman" w:cs="Times New Roman"/>
          <w:b/>
        </w:rPr>
        <w:t>ак правило. требуется выпускнику ГБПОУ «ЗАПТ»</w:t>
      </w:r>
      <w:r w:rsidR="009406C1">
        <w:rPr>
          <w:rFonts w:ascii="Times New Roman" w:hAnsi="Times New Roman" w:cs="Times New Roman"/>
          <w:b/>
        </w:rPr>
        <w:t xml:space="preserve"> для овладения основными навыками практической работы и освоения функциональных обязанностей? </w:t>
      </w:r>
    </w:p>
    <w:p w:rsidR="00356D81" w:rsidRDefault="00356D81" w:rsidP="006A0765">
      <w:pPr>
        <w:spacing w:after="0"/>
        <w:jc w:val="center"/>
        <w:rPr>
          <w:rFonts w:ascii="Times New Roman" w:hAnsi="Times New Roman" w:cs="Times New Roman"/>
          <w:b/>
        </w:rPr>
      </w:pPr>
    </w:p>
    <w:p w:rsidR="00356D81" w:rsidRDefault="00356D81" w:rsidP="006A0765">
      <w:pPr>
        <w:spacing w:after="0"/>
        <w:jc w:val="center"/>
        <w:rPr>
          <w:rFonts w:ascii="Times New Roman" w:hAnsi="Times New Roman" w:cs="Times New Roman"/>
          <w:b/>
        </w:rPr>
      </w:pPr>
    </w:p>
    <w:p w:rsidR="009406C1" w:rsidRDefault="009406C1" w:rsidP="006A0765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>
            <wp:extent cx="5720317" cy="3200400"/>
            <wp:effectExtent l="38100" t="0" r="13970" b="1905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BC49E0" w:rsidRDefault="00BC49E0" w:rsidP="006A0765">
      <w:pPr>
        <w:spacing w:after="0"/>
        <w:jc w:val="center"/>
        <w:rPr>
          <w:rFonts w:ascii="Times New Roman" w:hAnsi="Times New Roman" w:cs="Times New Roman"/>
          <w:b/>
        </w:rPr>
      </w:pPr>
    </w:p>
    <w:p w:rsidR="00BC49E0" w:rsidRDefault="00BC49E0" w:rsidP="006A0765">
      <w:pPr>
        <w:spacing w:after="0"/>
        <w:jc w:val="center"/>
        <w:rPr>
          <w:rFonts w:ascii="Times New Roman" w:hAnsi="Times New Roman" w:cs="Times New Roman"/>
          <w:b/>
        </w:rPr>
      </w:pPr>
    </w:p>
    <w:p w:rsidR="002D40DA" w:rsidRDefault="002D40DA" w:rsidP="006A0765">
      <w:pPr>
        <w:spacing w:after="0"/>
        <w:jc w:val="center"/>
        <w:rPr>
          <w:rFonts w:ascii="Times New Roman" w:hAnsi="Times New Roman" w:cs="Times New Roman"/>
          <w:b/>
        </w:rPr>
      </w:pPr>
    </w:p>
    <w:p w:rsidR="00356D81" w:rsidRDefault="00356D81" w:rsidP="006A0765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Участвуют ли представители Вашей организации (предприятия) в поведении ГИА </w:t>
      </w:r>
    </w:p>
    <w:p w:rsidR="00356D81" w:rsidRDefault="00356D81" w:rsidP="006A0765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в ГБПОУ «ЗАПТ»?</w:t>
      </w:r>
    </w:p>
    <w:p w:rsidR="00356D81" w:rsidRDefault="00356D81" w:rsidP="006A0765">
      <w:pPr>
        <w:spacing w:after="0"/>
        <w:jc w:val="center"/>
        <w:rPr>
          <w:rFonts w:ascii="Times New Roman" w:hAnsi="Times New Roman" w:cs="Times New Roman"/>
          <w:b/>
        </w:rPr>
      </w:pPr>
    </w:p>
    <w:p w:rsidR="00356D81" w:rsidRDefault="00356D81" w:rsidP="006A0765">
      <w:pPr>
        <w:spacing w:after="0"/>
        <w:jc w:val="center"/>
        <w:rPr>
          <w:rFonts w:ascii="Times New Roman" w:hAnsi="Times New Roman" w:cs="Times New Roman"/>
          <w:b/>
        </w:rPr>
      </w:pPr>
    </w:p>
    <w:p w:rsidR="00BC49E0" w:rsidRDefault="00356D81" w:rsidP="006A0765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>
            <wp:extent cx="5677786" cy="3200400"/>
            <wp:effectExtent l="38100" t="0" r="18415" b="1905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356D81" w:rsidRDefault="00356D81" w:rsidP="006A0765">
      <w:pPr>
        <w:spacing w:after="0"/>
        <w:jc w:val="center"/>
        <w:rPr>
          <w:rFonts w:ascii="Times New Roman" w:hAnsi="Times New Roman" w:cs="Times New Roman"/>
          <w:b/>
        </w:rPr>
      </w:pPr>
    </w:p>
    <w:p w:rsidR="00356D81" w:rsidRDefault="00356D81" w:rsidP="006A0765">
      <w:pPr>
        <w:spacing w:after="0"/>
        <w:jc w:val="center"/>
        <w:rPr>
          <w:rFonts w:ascii="Times New Roman" w:hAnsi="Times New Roman" w:cs="Times New Roman"/>
          <w:b/>
        </w:rPr>
      </w:pPr>
    </w:p>
    <w:p w:rsidR="00356D81" w:rsidRDefault="00356D81" w:rsidP="006A0765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Какие направления сотрудничества с нашим техник</w:t>
      </w:r>
      <w:r w:rsidR="000634B2">
        <w:rPr>
          <w:rFonts w:ascii="Times New Roman" w:hAnsi="Times New Roman" w:cs="Times New Roman"/>
          <w:b/>
        </w:rPr>
        <w:t>ум</w:t>
      </w:r>
      <w:r>
        <w:rPr>
          <w:rFonts w:ascii="Times New Roman" w:hAnsi="Times New Roman" w:cs="Times New Roman"/>
          <w:b/>
        </w:rPr>
        <w:t xml:space="preserve">ом Вы считаете наиболее </w:t>
      </w:r>
      <w:r w:rsidR="00E831CF">
        <w:rPr>
          <w:rFonts w:ascii="Times New Roman" w:hAnsi="Times New Roman" w:cs="Times New Roman"/>
          <w:b/>
        </w:rPr>
        <w:t>перспективными:</w:t>
      </w:r>
    </w:p>
    <w:p w:rsidR="00E831CF" w:rsidRDefault="00E831CF" w:rsidP="006A0765">
      <w:pPr>
        <w:spacing w:after="0"/>
        <w:jc w:val="center"/>
        <w:rPr>
          <w:rFonts w:ascii="Times New Roman" w:hAnsi="Times New Roman" w:cs="Times New Roman"/>
          <w:b/>
        </w:rPr>
      </w:pPr>
    </w:p>
    <w:p w:rsidR="00E831CF" w:rsidRDefault="00E831CF" w:rsidP="006A0765">
      <w:pPr>
        <w:spacing w:after="0"/>
        <w:jc w:val="center"/>
        <w:rPr>
          <w:rFonts w:ascii="Times New Roman" w:hAnsi="Times New Roman" w:cs="Times New Roman"/>
          <w:b/>
        </w:rPr>
      </w:pPr>
    </w:p>
    <w:p w:rsidR="00FA62A8" w:rsidRDefault="00E831CF" w:rsidP="006A0765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>
            <wp:extent cx="5688419" cy="3200400"/>
            <wp:effectExtent l="38100" t="0" r="26670" b="1905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FA62A8" w:rsidRPr="00FA62A8" w:rsidRDefault="00FA62A8" w:rsidP="00FA62A8">
      <w:pPr>
        <w:rPr>
          <w:rFonts w:ascii="Times New Roman" w:hAnsi="Times New Roman" w:cs="Times New Roman"/>
        </w:rPr>
      </w:pPr>
    </w:p>
    <w:p w:rsidR="00FA62A8" w:rsidRDefault="00FA62A8" w:rsidP="00FA62A8">
      <w:pPr>
        <w:rPr>
          <w:rFonts w:ascii="Times New Roman" w:hAnsi="Times New Roman" w:cs="Times New Roman"/>
        </w:rPr>
      </w:pPr>
    </w:p>
    <w:p w:rsidR="00FA62A8" w:rsidRPr="002967FC" w:rsidRDefault="00FA62A8" w:rsidP="00FA62A8">
      <w:pPr>
        <w:rPr>
          <w:rFonts w:ascii="Times New Roman" w:hAnsi="Times New Roman" w:cs="Times New Roman"/>
          <w:sz w:val="24"/>
          <w:szCs w:val="24"/>
        </w:rPr>
      </w:pPr>
      <w:r w:rsidRPr="002967FC">
        <w:rPr>
          <w:rFonts w:ascii="Times New Roman" w:hAnsi="Times New Roman" w:cs="Times New Roman"/>
          <w:sz w:val="24"/>
          <w:szCs w:val="24"/>
        </w:rPr>
        <w:t xml:space="preserve">         Анкетирование проводилось с использованием </w:t>
      </w:r>
      <w:proofErr w:type="spellStart"/>
      <w:r w:rsidRPr="002967FC">
        <w:rPr>
          <w:rFonts w:ascii="Times New Roman" w:hAnsi="Times New Roman" w:cs="Times New Roman"/>
          <w:sz w:val="24"/>
          <w:szCs w:val="24"/>
        </w:rPr>
        <w:t>Яндекс</w:t>
      </w:r>
      <w:proofErr w:type="spellEnd"/>
      <w:r w:rsidRPr="002967FC">
        <w:rPr>
          <w:rFonts w:ascii="Times New Roman" w:hAnsi="Times New Roman" w:cs="Times New Roman"/>
          <w:sz w:val="24"/>
          <w:szCs w:val="24"/>
        </w:rPr>
        <w:t xml:space="preserve"> Формы, обработка полученных данных осуществлялась автоматически. Результаты анкетирования представлены ниже.</w:t>
      </w:r>
    </w:p>
    <w:p w:rsidR="00FA62A8" w:rsidRDefault="00FA62A8" w:rsidP="00FA62A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E831CF" w:rsidRPr="00FA62A8" w:rsidRDefault="00E831CF" w:rsidP="00FA62A8">
      <w:pPr>
        <w:ind w:firstLine="708"/>
        <w:rPr>
          <w:rFonts w:ascii="Times New Roman" w:hAnsi="Times New Roman" w:cs="Times New Roman"/>
        </w:rPr>
      </w:pPr>
    </w:p>
    <w:sectPr w:rsidR="00E831CF" w:rsidRPr="00FA62A8" w:rsidSect="00771B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72232"/>
    <w:rsid w:val="0000100E"/>
    <w:rsid w:val="00011FF8"/>
    <w:rsid w:val="000634B2"/>
    <w:rsid w:val="00144344"/>
    <w:rsid w:val="00167C8E"/>
    <w:rsid w:val="002461E9"/>
    <w:rsid w:val="002D40DA"/>
    <w:rsid w:val="002E603A"/>
    <w:rsid w:val="00303264"/>
    <w:rsid w:val="00342E04"/>
    <w:rsid w:val="00356D81"/>
    <w:rsid w:val="003F143D"/>
    <w:rsid w:val="004154E1"/>
    <w:rsid w:val="0045301A"/>
    <w:rsid w:val="00520A85"/>
    <w:rsid w:val="006A0765"/>
    <w:rsid w:val="007718E5"/>
    <w:rsid w:val="00771B5B"/>
    <w:rsid w:val="009406C1"/>
    <w:rsid w:val="00A46279"/>
    <w:rsid w:val="00A64C3C"/>
    <w:rsid w:val="00B04E6C"/>
    <w:rsid w:val="00BC49E0"/>
    <w:rsid w:val="00C15D02"/>
    <w:rsid w:val="00C416BE"/>
    <w:rsid w:val="00CC52B6"/>
    <w:rsid w:val="00DE4A32"/>
    <w:rsid w:val="00E54965"/>
    <w:rsid w:val="00E72232"/>
    <w:rsid w:val="00E831CF"/>
    <w:rsid w:val="00F36765"/>
    <w:rsid w:val="00FA62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B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22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22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22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22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2.xml"/><Relationship Id="rId11" Type="http://schemas.openxmlformats.org/officeDocument/2006/relationships/fontTable" Target="fontTable.xml"/><Relationship Id="rId5" Type="http://schemas.openxmlformats.org/officeDocument/2006/relationships/chart" Target="charts/chart1.xml"/><Relationship Id="rId10" Type="http://schemas.openxmlformats.org/officeDocument/2006/relationships/chart" Target="charts/chart6.xml"/><Relationship Id="rId4" Type="http://schemas.openxmlformats.org/officeDocument/2006/relationships/webSettings" Target="webSettings.xml"/><Relationship Id="rId9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otX val="30"/>
      <c:perspective val="30"/>
    </c:view3D>
    <c:plotArea>
      <c:layout>
        <c:manualLayout>
          <c:layoutTarget val="inner"/>
          <c:xMode val="edge"/>
          <c:yMode val="edge"/>
          <c:x val="0"/>
          <c:y val="7.142857142857148E-2"/>
          <c:w val="0.62827132194059365"/>
          <c:h val="0.8309401949756281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Lbls>
            <c:showPercent val="1"/>
          </c:dLbls>
          <c:cat>
            <c:strRef>
              <c:f>Лист1!$A$2:$A$4</c:f>
              <c:strCache>
                <c:ptCount val="3"/>
                <c:pt idx="0">
                  <c:v>Удовлетворен в целом</c:v>
                </c:pt>
                <c:pt idx="1">
                  <c:v>Удовлетворен, но не в полной мере</c:v>
                </c:pt>
                <c:pt idx="2">
                  <c:v>Удовлетворен в полной мере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73</c:v>
                </c:pt>
                <c:pt idx="1">
                  <c:v>9.4</c:v>
                </c:pt>
                <c:pt idx="2">
                  <c:v>17.3</c:v>
                </c:pt>
              </c:numCache>
            </c:numRef>
          </c:val>
        </c:ser>
        <c:dLbls>
          <c:showPercent val="1"/>
        </c:dLbls>
      </c:pie3DChart>
    </c:plotArea>
    <c:legend>
      <c:legendPos val="r"/>
    </c:legend>
    <c:plotVisOnly val="1"/>
    <c:dispBlanksAs val="zero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otX val="30"/>
      <c:perspective val="30"/>
    </c:view3D>
    <c:plotArea>
      <c:layout>
        <c:manualLayout>
          <c:layoutTarget val="inner"/>
          <c:xMode val="edge"/>
          <c:yMode val="edge"/>
          <c:x val="0"/>
          <c:y val="8.0432845894263319E-2"/>
          <c:w val="0.60286488738825861"/>
          <c:h val="0.79776557930258762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Lbls>
            <c:showPercent val="1"/>
          </c:dLbls>
          <c:cat>
            <c:strRef>
              <c:f>Лист1!$A$2:$A$4</c:f>
              <c:strCache>
                <c:ptCount val="3"/>
                <c:pt idx="0">
                  <c:v>Больше внимания уделять практической подготовке </c:v>
                </c:pt>
                <c:pt idx="1">
                  <c:v>Использовать инновационные технологии в обучении</c:v>
                </c:pt>
                <c:pt idx="2">
                  <c:v>Больше внимания уделять теоретической подготовке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57.3</c:v>
                </c:pt>
                <c:pt idx="1">
                  <c:v>39.4</c:v>
                </c:pt>
                <c:pt idx="2">
                  <c:v>7.4</c:v>
                </c:pt>
              </c:numCache>
            </c:numRef>
          </c:val>
        </c:ser>
        <c:dLbls>
          <c:showPercent val="1"/>
        </c:dLbls>
      </c:pie3DChart>
    </c:plotArea>
    <c:legend>
      <c:legendPos val="r"/>
    </c:legend>
    <c:plotVisOnly val="1"/>
    <c:dispBlanksAs val="zero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otX val="30"/>
      <c:perspective val="30"/>
    </c:view3D>
    <c:plotArea>
      <c:layout>
        <c:manualLayout>
          <c:layoutTarget val="inner"/>
          <c:xMode val="edge"/>
          <c:yMode val="edge"/>
          <c:x val="0"/>
          <c:y val="1.0912698412698412E-2"/>
          <c:w val="0.5982738566245952"/>
          <c:h val="0.88293650793650758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Lbls>
            <c:showPercent val="1"/>
          </c:dLbls>
          <c:cat>
            <c:strRef>
              <c:f>Лист1!$A$2:$A$4</c:f>
              <c:strCache>
                <c:ptCount val="3"/>
                <c:pt idx="0">
                  <c:v>Удовлетворен в целом</c:v>
                </c:pt>
                <c:pt idx="1">
                  <c:v>Удовлетворен, но не в полной мере</c:v>
                </c:pt>
                <c:pt idx="2">
                  <c:v>Удовлетворен в полной мере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64.900000000000006</c:v>
                </c:pt>
                <c:pt idx="1">
                  <c:v>16.3</c:v>
                </c:pt>
                <c:pt idx="2">
                  <c:v>9.1</c:v>
                </c:pt>
              </c:numCache>
            </c:numRef>
          </c:val>
        </c:ser>
        <c:dLbls>
          <c:showPercent val="1"/>
        </c:dLbls>
      </c:pie3DChart>
    </c:plotArea>
    <c:legend>
      <c:legendPos val="r"/>
    </c:legend>
    <c:plotVisOnly val="1"/>
    <c:dispBlanksAs val="zero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otX val="30"/>
      <c:perspective val="30"/>
    </c:view3D>
    <c:plotArea>
      <c:layout>
        <c:manualLayout>
          <c:layoutTarget val="inner"/>
          <c:xMode val="edge"/>
          <c:yMode val="edge"/>
          <c:x val="0"/>
          <c:y val="6.9444444444444519E-3"/>
          <c:w val="0.62496919655876426"/>
          <c:h val="0.88690476190476109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Lbls>
            <c:showPercent val="1"/>
          </c:dLbls>
          <c:cat>
            <c:strRef>
              <c:f>Лист1!$A$2:$A$4</c:f>
              <c:strCache>
                <c:ptCount val="3"/>
                <c:pt idx="0">
                  <c:v>от 6-ти месяцев до 1 года</c:v>
                </c:pt>
                <c:pt idx="1">
                  <c:v>до 3-х месяцев</c:v>
                </c:pt>
                <c:pt idx="2">
                  <c:v>от 3-х месяцев до 6-ти месяцев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25.6</c:v>
                </c:pt>
                <c:pt idx="1">
                  <c:v>31.2</c:v>
                </c:pt>
                <c:pt idx="2">
                  <c:v>42.3</c:v>
                </c:pt>
              </c:numCache>
            </c:numRef>
          </c:val>
        </c:ser>
        <c:dLbls>
          <c:showPercent val="1"/>
        </c:dLbls>
      </c:pie3DChart>
    </c:plotArea>
    <c:legend>
      <c:legendPos val="r"/>
    </c:legend>
    <c:plotVisOnly val="1"/>
    <c:dispBlanksAs val="zero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otX val="30"/>
      <c:perspective val="30"/>
    </c:view3D>
    <c:plotArea>
      <c:layout>
        <c:manualLayout>
          <c:layoutTarget val="inner"/>
          <c:xMode val="edge"/>
          <c:yMode val="edge"/>
          <c:x val="2.7911761001913728E-3"/>
          <c:y val="1.0912698412698412E-2"/>
          <c:w val="0.58487794438959873"/>
          <c:h val="0.88293650793650758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Lbls>
            <c:showPercent val="1"/>
          </c:dLbls>
          <c:cat>
            <c:strRef>
              <c:f>Лист1!$A$2:$A$4</c:f>
              <c:strCache>
                <c:ptCount val="3"/>
                <c:pt idx="0">
                  <c:v>Да</c:v>
                </c:pt>
                <c:pt idx="1">
                  <c:v>Нет</c:v>
                </c:pt>
                <c:pt idx="2">
                  <c:v>Планируем принимать участие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65.3</c:v>
                </c:pt>
                <c:pt idx="1">
                  <c:v>9.4</c:v>
                </c:pt>
                <c:pt idx="2">
                  <c:v>23.4</c:v>
                </c:pt>
              </c:numCache>
            </c:numRef>
          </c:val>
        </c:ser>
        <c:dLbls>
          <c:showPercent val="1"/>
        </c:dLbls>
      </c:pie3DChart>
    </c:plotArea>
    <c:legend>
      <c:legendPos val="r"/>
    </c:legend>
    <c:plotVisOnly val="1"/>
    <c:dispBlanksAs val="zero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otX val="30"/>
      <c:perspective val="30"/>
    </c:view3D>
    <c:plotArea>
      <c:layout>
        <c:manualLayout>
          <c:layoutTarget val="inner"/>
          <c:xMode val="edge"/>
          <c:yMode val="edge"/>
          <c:x val="8.9797884440600108E-4"/>
          <c:y val="1.0912698412698412E-2"/>
          <c:w val="0.59082577839190054"/>
          <c:h val="0.88293650793650758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Lbls>
            <c:showPercent val="1"/>
          </c:dLbls>
          <c:cat>
            <c:strRef>
              <c:f>Лист1!$A$2:$A$5</c:f>
              <c:strCache>
                <c:ptCount val="3"/>
                <c:pt idx="0">
                  <c:v>Участие преподавателей техникума в подготовке специалистов на предприятии</c:v>
                </c:pt>
                <c:pt idx="1">
                  <c:v>Формирование заказов на подготовку специалистов</c:v>
                </c:pt>
                <c:pt idx="2">
                  <c:v>Участие сотрудников предприятия в учебном процессе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16.899999999999999</c:v>
                </c:pt>
                <c:pt idx="1">
                  <c:v>58.3</c:v>
                </c:pt>
                <c:pt idx="2">
                  <c:v>22.3</c:v>
                </c:pt>
              </c:numCache>
            </c:numRef>
          </c:val>
        </c:ser>
        <c:dLbls>
          <c:showPercent val="1"/>
        </c:dLbls>
      </c:pie3DChart>
    </c:plotArea>
    <c:legend>
      <c:legendPos val="r"/>
    </c:legend>
    <c:plotVisOnly val="1"/>
    <c:dispBlanksAs val="zero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5C9AA-F71D-4853-B57B-2F6E20BCD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Учительская</dc:creator>
  <cp:lastModifiedBy>User</cp:lastModifiedBy>
  <cp:revision>7</cp:revision>
  <dcterms:created xsi:type="dcterms:W3CDTF">2023-11-09T03:31:00Z</dcterms:created>
  <dcterms:modified xsi:type="dcterms:W3CDTF">2023-11-09T06:59:00Z</dcterms:modified>
</cp:coreProperties>
</file>